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46B2" w:rsidRPr="004717C6" w:rsidRDefault="00384E30" w:rsidP="009065C5">
      <w:pPr>
        <w:spacing w:line="500" w:lineRule="exact"/>
        <w:jc w:val="both"/>
        <w:rPr>
          <w:rFonts w:ascii="標楷體" w:eastAsia="標楷體" w:hAnsi="標楷體"/>
          <w:sz w:val="40"/>
          <w:szCs w:val="40"/>
        </w:rPr>
      </w:pPr>
      <w:r w:rsidRPr="004717C6">
        <w:rPr>
          <w:rFonts w:ascii="標楷體" w:eastAsia="標楷體" w:hAnsi="標楷體"/>
          <w:sz w:val="40"/>
          <w:szCs w:val="40"/>
        </w:rPr>
        <w:t>配合公務人員退休撫卹基金管理委員會組織調整以112年4月30日作為</w:t>
      </w:r>
      <w:r w:rsidR="009065C5" w:rsidRPr="004717C6">
        <w:rPr>
          <w:rFonts w:ascii="標楷體" w:eastAsia="標楷體" w:hAnsi="標楷體"/>
          <w:sz w:val="40"/>
          <w:szCs w:val="40"/>
        </w:rPr>
        <w:t>新機關(</w:t>
      </w:r>
      <w:r w:rsidR="009065C5" w:rsidRPr="004717C6">
        <w:rPr>
          <w:rFonts w:ascii="標楷體" w:eastAsia="標楷體" w:hAnsi="標楷體" w:hint="eastAsia"/>
          <w:sz w:val="40"/>
          <w:szCs w:val="40"/>
        </w:rPr>
        <w:t>公務人員退休撫卹基金管理局</w:t>
      </w:r>
      <w:r w:rsidR="009065C5" w:rsidRPr="004717C6">
        <w:rPr>
          <w:rFonts w:ascii="標楷體" w:eastAsia="標楷體" w:hAnsi="標楷體"/>
          <w:sz w:val="40"/>
          <w:szCs w:val="40"/>
        </w:rPr>
        <w:t>)</w:t>
      </w:r>
      <w:r w:rsidRPr="004717C6">
        <w:rPr>
          <w:rFonts w:ascii="標楷體" w:eastAsia="標楷體" w:hAnsi="標楷體" w:hint="eastAsia"/>
          <w:sz w:val="40"/>
          <w:szCs w:val="40"/>
        </w:rPr>
        <w:t>組織調整生效</w:t>
      </w:r>
      <w:r w:rsidR="00F87D89" w:rsidRPr="004717C6">
        <w:rPr>
          <w:rFonts w:ascii="標楷體" w:eastAsia="標楷體" w:hAnsi="標楷體" w:hint="eastAsia"/>
          <w:sz w:val="40"/>
          <w:szCs w:val="40"/>
        </w:rPr>
        <w:t>日</w:t>
      </w:r>
      <w:r w:rsidR="009065C5" w:rsidRPr="004717C6">
        <w:rPr>
          <w:rFonts w:ascii="標楷體" w:eastAsia="標楷體" w:hAnsi="標楷體" w:hint="eastAsia"/>
          <w:sz w:val="40"/>
          <w:szCs w:val="40"/>
        </w:rPr>
        <w:t>者</w:t>
      </w:r>
      <w:r w:rsidR="00F87D89" w:rsidRPr="004717C6">
        <w:rPr>
          <w:rFonts w:ascii="標楷體" w:eastAsia="標楷體" w:hAnsi="標楷體" w:hint="eastAsia"/>
          <w:sz w:val="40"/>
          <w:szCs w:val="40"/>
        </w:rPr>
        <w:t>之變更管轄機關法規條文表</w:t>
      </w:r>
    </w:p>
    <w:tbl>
      <w:tblPr>
        <w:tblStyle w:val="a7"/>
        <w:tblW w:w="9067" w:type="dxa"/>
        <w:tblLook w:val="04A0" w:firstRow="1" w:lastRow="0" w:firstColumn="1" w:lastColumn="0" w:noHBand="0" w:noVBand="1"/>
      </w:tblPr>
      <w:tblGrid>
        <w:gridCol w:w="988"/>
        <w:gridCol w:w="2409"/>
        <w:gridCol w:w="2410"/>
        <w:gridCol w:w="3260"/>
      </w:tblGrid>
      <w:tr w:rsidR="00384E30" w:rsidRPr="004717C6" w:rsidTr="004717C6">
        <w:tc>
          <w:tcPr>
            <w:tcW w:w="988" w:type="dxa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序號</w:t>
            </w:r>
          </w:p>
        </w:tc>
        <w:tc>
          <w:tcPr>
            <w:tcW w:w="2409" w:type="dxa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法規名稱</w:t>
            </w:r>
          </w:p>
        </w:tc>
        <w:tc>
          <w:tcPr>
            <w:tcW w:w="2410" w:type="dxa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條款項目</w:t>
            </w:r>
          </w:p>
        </w:tc>
        <w:tc>
          <w:tcPr>
            <w:tcW w:w="3260" w:type="dxa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管轄事項變更情形</w:t>
            </w:r>
          </w:p>
        </w:tc>
      </w:tr>
      <w:tr w:rsidR="00384E30" w:rsidRPr="004717C6" w:rsidTr="004717C6">
        <w:tc>
          <w:tcPr>
            <w:tcW w:w="988" w:type="dxa"/>
            <w:shd w:val="clear" w:color="auto" w:fill="auto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1</w:t>
            </w:r>
          </w:p>
        </w:tc>
        <w:tc>
          <w:tcPr>
            <w:tcW w:w="2409" w:type="dxa"/>
            <w:shd w:val="clear" w:color="auto" w:fill="auto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公務人員退休撫卹基金管理條例</w:t>
            </w:r>
          </w:p>
          <w:p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5B57F0" w:rsidRPr="007211FA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2、</w:t>
            </w:r>
            <w:r w:rsidR="004D7B57" w:rsidRPr="004717C6">
              <w:rPr>
                <w:rFonts w:ascii="標楷體" w:eastAsia="標楷體" w:hAnsi="標楷體" w:hint="eastAsia"/>
                <w:szCs w:val="24"/>
              </w:rPr>
              <w:t>§5</w:t>
            </w:r>
            <w:r w:rsidR="004D7B57" w:rsidRPr="004717C6">
              <w:rPr>
                <w:rFonts w:ascii="標楷體" w:eastAsia="標楷體" w:hAnsi="標楷體"/>
                <w:szCs w:val="24"/>
              </w:rPr>
              <w:t>I(2)、</w:t>
            </w:r>
            <w:r w:rsidR="004D7B57" w:rsidRPr="004717C6">
              <w:rPr>
                <w:rFonts w:ascii="標楷體" w:eastAsia="標楷體" w:hAnsi="標楷體" w:hint="eastAsia"/>
                <w:szCs w:val="24"/>
              </w:rPr>
              <w:t>§5Ⅱ、§6Ⅲ</w:t>
            </w:r>
          </w:p>
        </w:tc>
        <w:tc>
          <w:tcPr>
            <w:tcW w:w="3260" w:type="dxa"/>
            <w:shd w:val="clear" w:color="auto" w:fill="auto"/>
          </w:tcPr>
          <w:p w:rsidR="00384E30" w:rsidRPr="004717C6" w:rsidRDefault="004D7B57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本條例各該規定所列屬「公務人員退休撫卹基金管理委員會」之權責事項，自112年4月30日起改由「公務人員退休撫卹基金管理</w:t>
            </w:r>
            <w:r w:rsidR="00ED6A50" w:rsidRPr="004717C6">
              <w:rPr>
                <w:rFonts w:ascii="標楷體" w:eastAsia="標楷體" w:hAnsi="標楷體" w:hint="eastAsia"/>
                <w:szCs w:val="24"/>
              </w:rPr>
              <w:t>局</w:t>
            </w:r>
            <w:r w:rsidRPr="004717C6">
              <w:rPr>
                <w:rFonts w:ascii="標楷體" w:eastAsia="標楷體" w:hAnsi="標楷體" w:hint="eastAsia"/>
                <w:szCs w:val="24"/>
              </w:rPr>
              <w:t>」管轄。</w:t>
            </w:r>
          </w:p>
        </w:tc>
      </w:tr>
      <w:tr w:rsidR="00384E30" w:rsidRPr="004717C6" w:rsidTr="004717C6">
        <w:tc>
          <w:tcPr>
            <w:tcW w:w="988" w:type="dxa"/>
            <w:shd w:val="clear" w:color="auto" w:fill="auto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2</w:t>
            </w:r>
          </w:p>
        </w:tc>
        <w:tc>
          <w:tcPr>
            <w:tcW w:w="2409" w:type="dxa"/>
            <w:shd w:val="clear" w:color="auto" w:fill="auto"/>
          </w:tcPr>
          <w:p w:rsidR="00384E30" w:rsidRPr="004717C6" w:rsidRDefault="004D7B57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公務人員退休撫卹基金管理條例施行細則</w:t>
            </w:r>
          </w:p>
          <w:p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84E30" w:rsidRPr="004717C6" w:rsidRDefault="004D7B57" w:rsidP="00D020CF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4、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8-</w:t>
            </w: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10、</w:t>
            </w:r>
            <w:r w:rsidR="00920E2F"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="00920E2F" w:rsidRPr="004717C6">
              <w:rPr>
                <w:rFonts w:ascii="標楷體" w:eastAsia="標楷體" w:hAnsi="標楷體"/>
                <w:szCs w:val="24"/>
              </w:rPr>
              <w:t>13 I、</w:t>
            </w:r>
            <w:r w:rsidR="00920E2F" w:rsidRPr="004717C6">
              <w:rPr>
                <w:rFonts w:ascii="標楷體" w:eastAsia="標楷體" w:hAnsi="標楷體" w:hint="eastAsia"/>
                <w:szCs w:val="24"/>
              </w:rPr>
              <w:t>§13Ⅱ、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§1</w:t>
            </w:r>
            <w:r w:rsidR="00920E2F" w:rsidRPr="004717C6">
              <w:rPr>
                <w:rFonts w:ascii="標楷體" w:eastAsia="標楷體" w:hAnsi="標楷體" w:hint="eastAsia"/>
                <w:szCs w:val="24"/>
              </w:rPr>
              <w:t>4、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§15</w:t>
            </w:r>
            <w:r w:rsidR="00920E2F" w:rsidRPr="004717C6">
              <w:rPr>
                <w:rFonts w:ascii="標楷體" w:eastAsia="標楷體" w:hAnsi="標楷體" w:hint="eastAsia"/>
                <w:szCs w:val="24"/>
              </w:rPr>
              <w:t>Ⅱ</w:t>
            </w:r>
            <w:r w:rsidRPr="004717C6">
              <w:rPr>
                <w:rFonts w:ascii="標楷體" w:eastAsia="標楷體" w:hAnsi="標楷體" w:hint="eastAsia"/>
                <w:szCs w:val="24"/>
              </w:rPr>
              <w:t>、§</w:t>
            </w:r>
            <w:r w:rsidRPr="004717C6">
              <w:rPr>
                <w:rFonts w:ascii="標楷體" w:eastAsia="標楷體" w:hAnsi="標楷體"/>
                <w:szCs w:val="24"/>
              </w:rPr>
              <w:t>17-</w:t>
            </w: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="00D020CF">
              <w:rPr>
                <w:rFonts w:ascii="標楷體" w:eastAsia="標楷體" w:hAnsi="標楷體" w:hint="eastAsia"/>
                <w:szCs w:val="24"/>
              </w:rPr>
              <w:t>18、</w:t>
            </w:r>
            <w:r w:rsidR="00D020CF"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="00D020CF">
              <w:rPr>
                <w:rFonts w:ascii="標楷體" w:eastAsia="標楷體" w:hAnsi="標楷體"/>
                <w:szCs w:val="24"/>
              </w:rPr>
              <w:t>19</w:t>
            </w:r>
            <w:r w:rsidR="00D020CF" w:rsidRPr="004717C6">
              <w:rPr>
                <w:rFonts w:ascii="標楷體" w:eastAsia="標楷體" w:hAnsi="標楷體"/>
                <w:szCs w:val="24"/>
              </w:rPr>
              <w:t>-</w:t>
            </w:r>
            <w:r w:rsidR="00D020CF"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="00D020CF">
              <w:rPr>
                <w:rFonts w:ascii="標楷體" w:eastAsia="標楷體" w:hAnsi="標楷體" w:hint="eastAsia"/>
                <w:szCs w:val="24"/>
              </w:rPr>
              <w:t>21</w:t>
            </w:r>
          </w:p>
        </w:tc>
        <w:tc>
          <w:tcPr>
            <w:tcW w:w="3260" w:type="dxa"/>
            <w:shd w:val="clear" w:color="auto" w:fill="auto"/>
          </w:tcPr>
          <w:p w:rsidR="00384E30" w:rsidRPr="004717C6" w:rsidRDefault="00ED6A5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本細則各該規定所列屬「公務人員退休撫卹基金管理委員會」之權責事項，自112年4月30日起改由「公務人員退休撫卹基金管理局」管轄。</w:t>
            </w:r>
          </w:p>
        </w:tc>
      </w:tr>
      <w:tr w:rsidR="00384E30" w:rsidRPr="004717C6" w:rsidTr="004717C6">
        <w:tc>
          <w:tcPr>
            <w:tcW w:w="988" w:type="dxa"/>
            <w:shd w:val="clear" w:color="auto" w:fill="auto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384E30" w:rsidRPr="004717C6" w:rsidRDefault="00ED6A5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公務人員定期退撫給與查驗及發放辦法</w:t>
            </w:r>
          </w:p>
          <w:p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84E30" w:rsidRPr="004717C6" w:rsidRDefault="00E301C2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3260" w:type="dxa"/>
            <w:shd w:val="clear" w:color="auto" w:fill="auto"/>
          </w:tcPr>
          <w:p w:rsidR="00384E30" w:rsidRPr="004717C6" w:rsidRDefault="00E301C2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本辦法各該規定所列屬「公務人員退休撫卹基金管理委員會」之權責事項，自112年4月30日起改由「公務人員退休撫卹基金管理局」管轄。</w:t>
            </w:r>
          </w:p>
        </w:tc>
      </w:tr>
      <w:tr w:rsidR="00384E30" w:rsidRPr="004717C6" w:rsidTr="004717C6">
        <w:tc>
          <w:tcPr>
            <w:tcW w:w="988" w:type="dxa"/>
            <w:shd w:val="clear" w:color="auto" w:fill="auto"/>
          </w:tcPr>
          <w:p w:rsidR="00384E30" w:rsidRPr="004717C6" w:rsidRDefault="00384E3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4</w:t>
            </w:r>
          </w:p>
        </w:tc>
        <w:tc>
          <w:tcPr>
            <w:tcW w:w="2409" w:type="dxa"/>
            <w:shd w:val="clear" w:color="auto" w:fill="auto"/>
          </w:tcPr>
          <w:p w:rsidR="00384E30" w:rsidRPr="004717C6" w:rsidRDefault="00BA120B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公務人員退休撫卹基金委託經營辦法</w:t>
            </w:r>
          </w:p>
          <w:p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384E30" w:rsidRPr="004717C6" w:rsidRDefault="00BA120B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2、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Pr="004717C6">
              <w:rPr>
                <w:rFonts w:ascii="標楷體" w:eastAsia="標楷體" w:hAnsi="標楷體"/>
                <w:szCs w:val="24"/>
              </w:rPr>
              <w:t>4</w:t>
            </w:r>
            <w:r w:rsidRPr="004717C6">
              <w:rPr>
                <w:rFonts w:ascii="標楷體" w:eastAsia="標楷體" w:hAnsi="標楷體" w:hint="eastAsia"/>
                <w:szCs w:val="24"/>
              </w:rPr>
              <w:t>Ⅱ(2)</w:t>
            </w:r>
            <w:r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§4Ⅲ(2)、§</w:t>
            </w:r>
            <w:r w:rsidRPr="004717C6">
              <w:rPr>
                <w:rFonts w:ascii="標楷體" w:eastAsia="標楷體" w:hAnsi="標楷體"/>
                <w:szCs w:val="24"/>
              </w:rPr>
              <w:t>4</w:t>
            </w:r>
            <w:r w:rsidRPr="004717C6">
              <w:rPr>
                <w:rFonts w:ascii="標楷體" w:eastAsia="標楷體" w:hAnsi="標楷體"/>
                <w:szCs w:val="24"/>
              </w:rPr>
              <w:fldChar w:fldCharType="begin"/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 w:hint="eastAsia"/>
                <w:szCs w:val="24"/>
              </w:rPr>
              <w:instrText>= 4 \* ROMAN</w:instrText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/>
                <w:szCs w:val="24"/>
              </w:rPr>
              <w:fldChar w:fldCharType="separate"/>
            </w:r>
            <w:r w:rsidRPr="004717C6">
              <w:rPr>
                <w:rFonts w:ascii="標楷體" w:eastAsia="標楷體" w:hAnsi="標楷體"/>
                <w:noProof/>
                <w:szCs w:val="24"/>
              </w:rPr>
              <w:t>IV</w:t>
            </w:r>
            <w:r w:rsidRPr="004717C6">
              <w:rPr>
                <w:rFonts w:ascii="標楷體" w:eastAsia="標楷體" w:hAnsi="標楷體"/>
                <w:szCs w:val="24"/>
              </w:rPr>
              <w:fldChar w:fldCharType="end"/>
            </w:r>
            <w:r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§5Ⅲ、§5-1、§5-2</w:t>
            </w:r>
            <w:r w:rsidRPr="004717C6">
              <w:rPr>
                <w:szCs w:val="24"/>
              </w:rPr>
              <w:t xml:space="preserve"> </w:t>
            </w:r>
            <w:r w:rsidRPr="004717C6">
              <w:rPr>
                <w:rFonts w:ascii="標楷體" w:eastAsia="標楷體" w:hAnsi="標楷體"/>
                <w:szCs w:val="24"/>
              </w:rPr>
              <w:t>I</w:t>
            </w:r>
            <w:r w:rsidRPr="004717C6">
              <w:rPr>
                <w:rFonts w:ascii="標楷體" w:eastAsia="標楷體" w:hAnsi="標楷體" w:hint="eastAsia"/>
                <w:szCs w:val="24"/>
              </w:rPr>
              <w:t>、§6I、§6Ⅱ、§6Ⅲ、§6</w:t>
            </w:r>
            <w:r w:rsidRPr="004717C6">
              <w:rPr>
                <w:rFonts w:ascii="標楷體" w:eastAsia="標楷體" w:hAnsi="標楷體"/>
                <w:szCs w:val="24"/>
              </w:rPr>
              <w:fldChar w:fldCharType="begin"/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 w:hint="eastAsia"/>
                <w:szCs w:val="24"/>
              </w:rPr>
              <w:instrText>= 5 \* ROMAN</w:instrText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/>
                <w:szCs w:val="24"/>
              </w:rPr>
              <w:fldChar w:fldCharType="separate"/>
            </w:r>
            <w:r w:rsidRPr="004717C6">
              <w:rPr>
                <w:rFonts w:ascii="標楷體" w:eastAsia="標楷體" w:hAnsi="標楷體"/>
                <w:noProof/>
                <w:szCs w:val="24"/>
              </w:rPr>
              <w:t>V</w:t>
            </w:r>
            <w:r w:rsidRPr="004717C6">
              <w:rPr>
                <w:rFonts w:ascii="標楷體" w:eastAsia="標楷體" w:hAnsi="標楷體"/>
                <w:szCs w:val="24"/>
              </w:rPr>
              <w:fldChar w:fldCharType="end"/>
            </w:r>
            <w:r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§9I、§9Ⅱ、§9Ⅲ、§9-1I、§9-1Ⅲ、§10I、§10</w:t>
            </w:r>
            <w:r w:rsidRPr="004717C6">
              <w:rPr>
                <w:rFonts w:ascii="標楷體" w:eastAsia="標楷體" w:hAnsi="標楷體"/>
                <w:szCs w:val="24"/>
              </w:rPr>
              <w:fldChar w:fldCharType="begin"/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 w:hint="eastAsia"/>
                <w:szCs w:val="24"/>
              </w:rPr>
              <w:instrText>= 4 \* ROMAN</w:instrText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/>
                <w:szCs w:val="24"/>
              </w:rPr>
              <w:fldChar w:fldCharType="separate"/>
            </w:r>
            <w:r w:rsidRPr="004717C6">
              <w:rPr>
                <w:rFonts w:ascii="標楷體" w:eastAsia="標楷體" w:hAnsi="標楷體"/>
                <w:noProof/>
                <w:szCs w:val="24"/>
              </w:rPr>
              <w:t>IV</w:t>
            </w:r>
            <w:r w:rsidRPr="004717C6">
              <w:rPr>
                <w:rFonts w:ascii="標楷體" w:eastAsia="標楷體" w:hAnsi="標楷體"/>
                <w:szCs w:val="24"/>
              </w:rPr>
              <w:fldChar w:fldCharType="end"/>
            </w:r>
            <w:r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§11Ⅱ、§12-§13</w:t>
            </w:r>
            <w:r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§14</w:t>
            </w:r>
            <w:r w:rsidRPr="004717C6">
              <w:rPr>
                <w:rFonts w:ascii="標楷體" w:eastAsia="標楷體" w:hAnsi="標楷體"/>
                <w:szCs w:val="24"/>
              </w:rPr>
              <w:t>I</w:t>
            </w:r>
            <w:r w:rsidR="00BA2ED3" w:rsidRPr="004717C6">
              <w:rPr>
                <w:rFonts w:ascii="標楷體" w:eastAsia="標楷體" w:hAnsi="標楷體"/>
                <w:szCs w:val="24"/>
              </w:rPr>
              <w:t>、</w:t>
            </w:r>
            <w:r w:rsidR="00BA2ED3" w:rsidRPr="004717C6">
              <w:rPr>
                <w:rFonts w:ascii="標楷體" w:eastAsia="標楷體" w:hAnsi="標楷體" w:hint="eastAsia"/>
                <w:szCs w:val="24"/>
              </w:rPr>
              <w:t>§15-§18</w:t>
            </w:r>
          </w:p>
        </w:tc>
        <w:tc>
          <w:tcPr>
            <w:tcW w:w="3260" w:type="dxa"/>
            <w:shd w:val="clear" w:color="auto" w:fill="auto"/>
          </w:tcPr>
          <w:p w:rsidR="00384E30" w:rsidRPr="004717C6" w:rsidRDefault="00BA2ED3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本辦法各該規定所列屬「公務人員退休撫卹基金管理委員會」之權責事項，自112年4月30日起改由「公務人員退休撫卹基金管理局」管轄。</w:t>
            </w:r>
          </w:p>
        </w:tc>
      </w:tr>
      <w:tr w:rsidR="00384E30" w:rsidRPr="004717C6" w:rsidTr="004717C6">
        <w:tc>
          <w:tcPr>
            <w:tcW w:w="988" w:type="dxa"/>
            <w:shd w:val="clear" w:color="auto" w:fill="auto"/>
          </w:tcPr>
          <w:p w:rsidR="00384E30" w:rsidRPr="004717C6" w:rsidRDefault="00966795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5</w:t>
            </w:r>
          </w:p>
        </w:tc>
        <w:tc>
          <w:tcPr>
            <w:tcW w:w="2409" w:type="dxa"/>
            <w:shd w:val="clear" w:color="auto" w:fill="auto"/>
          </w:tcPr>
          <w:p w:rsidR="00384E30" w:rsidRPr="004717C6" w:rsidRDefault="00BA2ED3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公務人員退休資遣撫卹法施行細則</w:t>
            </w:r>
          </w:p>
          <w:p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</w:p>
          <w:p w:rsidR="005B57F0" w:rsidRPr="004717C6" w:rsidRDefault="005B57F0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</w:tcPr>
          <w:p w:rsidR="00384E30" w:rsidRPr="004717C6" w:rsidRDefault="007405D6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§6</w:t>
            </w:r>
            <w:r w:rsidR="00920E2F" w:rsidRPr="004717C6">
              <w:rPr>
                <w:rFonts w:ascii="標楷體" w:eastAsia="標楷體" w:hAnsi="標楷體"/>
                <w:szCs w:val="24"/>
              </w:rPr>
              <w:t>I</w:t>
            </w:r>
            <w:r w:rsidRPr="004717C6">
              <w:rPr>
                <w:rFonts w:ascii="標楷體" w:eastAsia="標楷體" w:hAnsi="標楷體" w:hint="eastAsia"/>
                <w:szCs w:val="24"/>
              </w:rPr>
              <w:t>、§7Ⅲ、§7</w:t>
            </w:r>
            <w:r w:rsidRPr="004717C6">
              <w:rPr>
                <w:rFonts w:ascii="標楷體" w:eastAsia="標楷體" w:hAnsi="標楷體"/>
                <w:szCs w:val="24"/>
              </w:rPr>
              <w:fldChar w:fldCharType="begin"/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 w:hint="eastAsia"/>
                <w:szCs w:val="24"/>
              </w:rPr>
              <w:instrText>= 5 \* ROMAN</w:instrText>
            </w:r>
            <w:r w:rsidRPr="004717C6">
              <w:rPr>
                <w:rFonts w:ascii="標楷體" w:eastAsia="標楷體" w:hAnsi="標楷體"/>
                <w:szCs w:val="24"/>
              </w:rPr>
              <w:instrText xml:space="preserve"> </w:instrText>
            </w:r>
            <w:r w:rsidRPr="004717C6">
              <w:rPr>
                <w:rFonts w:ascii="標楷體" w:eastAsia="標楷體" w:hAnsi="標楷體"/>
                <w:szCs w:val="24"/>
              </w:rPr>
              <w:fldChar w:fldCharType="separate"/>
            </w:r>
            <w:r w:rsidRPr="004717C6">
              <w:rPr>
                <w:rFonts w:ascii="標楷體" w:eastAsia="標楷體" w:hAnsi="標楷體"/>
                <w:noProof/>
                <w:szCs w:val="24"/>
              </w:rPr>
              <w:t>V</w:t>
            </w:r>
            <w:r w:rsidRPr="004717C6">
              <w:rPr>
                <w:rFonts w:ascii="標楷體" w:eastAsia="標楷體" w:hAnsi="標楷體"/>
                <w:szCs w:val="24"/>
              </w:rPr>
              <w:fldChar w:fldCharType="end"/>
            </w:r>
            <w:r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§9</w:t>
            </w:r>
            <w:r w:rsidRPr="004717C6">
              <w:rPr>
                <w:rFonts w:ascii="標楷體" w:eastAsia="標楷體" w:hAnsi="標楷體"/>
                <w:szCs w:val="24"/>
              </w:rPr>
              <w:t>I</w:t>
            </w:r>
            <w:r w:rsidR="008A3A4F" w:rsidRPr="004717C6">
              <w:rPr>
                <w:rFonts w:ascii="標楷體" w:eastAsia="標楷體" w:hAnsi="標楷體"/>
                <w:szCs w:val="24"/>
              </w:rPr>
              <w:t>、</w:t>
            </w:r>
            <w:r w:rsidRPr="004717C6">
              <w:rPr>
                <w:rFonts w:ascii="標楷體" w:eastAsia="標楷體" w:hAnsi="標楷體" w:hint="eastAsia"/>
                <w:szCs w:val="24"/>
              </w:rPr>
              <w:t>§</w:t>
            </w:r>
            <w:r w:rsidR="008A3A4F" w:rsidRPr="004717C6">
              <w:rPr>
                <w:rFonts w:ascii="標楷體" w:eastAsia="標楷體" w:hAnsi="標楷體" w:hint="eastAsia"/>
                <w:szCs w:val="24"/>
              </w:rPr>
              <w:t>91</w:t>
            </w:r>
            <w:r w:rsidRPr="004717C6">
              <w:rPr>
                <w:rFonts w:ascii="標楷體" w:eastAsia="標楷體" w:hAnsi="標楷體"/>
                <w:szCs w:val="24"/>
              </w:rPr>
              <w:t>I</w:t>
            </w:r>
            <w:r w:rsidR="008A3A4F" w:rsidRPr="004717C6">
              <w:rPr>
                <w:rFonts w:ascii="標楷體" w:eastAsia="標楷體" w:hAnsi="標楷體"/>
                <w:szCs w:val="24"/>
              </w:rPr>
              <w:t>、</w:t>
            </w:r>
            <w:r w:rsidR="008A3A4F" w:rsidRPr="004717C6">
              <w:rPr>
                <w:rFonts w:ascii="標楷體" w:eastAsia="標楷體" w:hAnsi="標楷體" w:hint="eastAsia"/>
                <w:szCs w:val="24"/>
              </w:rPr>
              <w:t>§100Ⅲ、§101(2)、§102</w:t>
            </w:r>
            <w:r w:rsidR="008A3A4F" w:rsidRPr="004717C6">
              <w:rPr>
                <w:rFonts w:ascii="標楷體" w:eastAsia="標楷體" w:hAnsi="標楷體"/>
                <w:szCs w:val="24"/>
              </w:rPr>
              <w:t>I(2)、</w:t>
            </w:r>
            <w:r w:rsidR="008A3A4F" w:rsidRPr="004717C6">
              <w:rPr>
                <w:rFonts w:ascii="標楷體" w:eastAsia="標楷體" w:hAnsi="標楷體" w:hint="eastAsia"/>
                <w:szCs w:val="24"/>
              </w:rPr>
              <w:t>§105Ⅱ</w:t>
            </w:r>
            <w:r w:rsidR="008A3A4F" w:rsidRPr="004717C6">
              <w:rPr>
                <w:rFonts w:ascii="標楷體" w:eastAsia="標楷體" w:hAnsi="標楷體"/>
                <w:szCs w:val="24"/>
              </w:rPr>
              <w:t>(1)、</w:t>
            </w:r>
          </w:p>
        </w:tc>
        <w:tc>
          <w:tcPr>
            <w:tcW w:w="3260" w:type="dxa"/>
            <w:shd w:val="clear" w:color="auto" w:fill="auto"/>
          </w:tcPr>
          <w:p w:rsidR="00384E30" w:rsidRPr="004717C6" w:rsidRDefault="008A3A4F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本細則各該規定所列屬「公務人員退休撫卹基金管理委員會」之權責事項，自112年4月30日起改由「公務人員退休撫卹基金管理局」管轄。</w:t>
            </w:r>
          </w:p>
        </w:tc>
      </w:tr>
      <w:tr w:rsidR="00A652A8" w:rsidRPr="004717C6" w:rsidTr="004717C6">
        <w:tc>
          <w:tcPr>
            <w:tcW w:w="9067" w:type="dxa"/>
            <w:gridSpan w:val="4"/>
          </w:tcPr>
          <w:p w:rsidR="00A652A8" w:rsidRPr="004717C6" w:rsidRDefault="00531C5B" w:rsidP="004717C6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4717C6">
              <w:rPr>
                <w:rFonts w:ascii="標楷體" w:eastAsia="標楷體" w:hAnsi="標楷體" w:hint="eastAsia"/>
                <w:szCs w:val="24"/>
              </w:rPr>
              <w:t>公務人員退休撫卹基金管理局組織於112年4月30日調整生效後，前揭法規以外之</w:t>
            </w:r>
            <w:r w:rsidR="009065C5" w:rsidRPr="004717C6">
              <w:rPr>
                <w:rFonts w:ascii="標楷體" w:eastAsia="標楷體" w:hAnsi="標楷體" w:hint="eastAsia"/>
                <w:szCs w:val="24"/>
              </w:rPr>
              <w:t>其他法規</w:t>
            </w:r>
            <w:r w:rsidR="00966795" w:rsidRPr="004717C6">
              <w:rPr>
                <w:rFonts w:ascii="標楷體" w:eastAsia="標楷體" w:hAnsi="標楷體" w:hint="eastAsia"/>
                <w:szCs w:val="24"/>
              </w:rPr>
              <w:t>需</w:t>
            </w:r>
            <w:r w:rsidRPr="004717C6">
              <w:rPr>
                <w:rFonts w:ascii="標楷體" w:eastAsia="標楷體" w:hAnsi="標楷體" w:hint="eastAsia"/>
                <w:szCs w:val="24"/>
              </w:rPr>
              <w:t>配合調整權限業務規定者，於依組織法規之管轄規定修正前，相關權限業</w:t>
            </w:r>
            <w:r w:rsidRPr="004717C6">
              <w:rPr>
                <w:rFonts w:ascii="標楷體" w:eastAsia="標楷體" w:hAnsi="標楷體" w:hint="eastAsia"/>
                <w:szCs w:val="24"/>
              </w:rPr>
              <w:lastRenderedPageBreak/>
              <w:t>務改由公務人員退休撫卹基金管理局辦理。</w:t>
            </w:r>
          </w:p>
        </w:tc>
      </w:tr>
    </w:tbl>
    <w:p w:rsidR="00384E30" w:rsidRPr="004717C6" w:rsidRDefault="00384E30" w:rsidP="004717C6">
      <w:pPr>
        <w:jc w:val="both"/>
        <w:rPr>
          <w:rFonts w:ascii="標楷體" w:eastAsia="標楷體" w:hAnsi="標楷體"/>
          <w:szCs w:val="24"/>
        </w:rPr>
      </w:pPr>
      <w:r w:rsidRPr="004717C6">
        <w:rPr>
          <w:rFonts w:ascii="標楷體" w:eastAsia="標楷體" w:hAnsi="標楷體" w:hint="eastAsia"/>
          <w:szCs w:val="24"/>
        </w:rPr>
        <w:lastRenderedPageBreak/>
        <w:t>註：為茲簡明，條項款目欄中，各條、項、款、目等，分以下列方式表達：條→§（條號以阿拉伯數字表達）、項→Ⅰ（羅馬符號）、款→(1)（括弧內置阿拉伯數字）、目→</w:t>
      </w:r>
      <w:r w:rsidRPr="004717C6">
        <w:rPr>
          <w:rFonts w:ascii="標楷體" w:eastAsia="標楷體" w:hAnsi="標楷體" w:hint="eastAsia"/>
          <w:szCs w:val="24"/>
        </w:rPr>
        <w:t>（圓圈內置阿拉伯數字），目以下則以「之○（阿拉伯數字）」表達。</w:t>
      </w:r>
    </w:p>
    <w:sectPr w:rsidR="00384E30" w:rsidRPr="004717C6" w:rsidSect="00465285">
      <w:pgSz w:w="11906" w:h="16838"/>
      <w:pgMar w:top="1985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0FA7" w:rsidRDefault="001B0FA7" w:rsidP="00384E30">
      <w:r>
        <w:separator/>
      </w:r>
    </w:p>
  </w:endnote>
  <w:endnote w:type="continuationSeparator" w:id="0">
    <w:p w:rsidR="001B0FA7" w:rsidRDefault="001B0FA7" w:rsidP="00384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U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0FA7" w:rsidRDefault="001B0FA7" w:rsidP="00384E30">
      <w:r>
        <w:separator/>
      </w:r>
    </w:p>
  </w:footnote>
  <w:footnote w:type="continuationSeparator" w:id="0">
    <w:p w:rsidR="001B0FA7" w:rsidRDefault="001B0FA7" w:rsidP="00384E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967"/>
    <w:rsid w:val="000C6E4D"/>
    <w:rsid w:val="000D005A"/>
    <w:rsid w:val="0014582F"/>
    <w:rsid w:val="001B0FA7"/>
    <w:rsid w:val="002E75DC"/>
    <w:rsid w:val="00310CB1"/>
    <w:rsid w:val="00313C4F"/>
    <w:rsid w:val="00384E30"/>
    <w:rsid w:val="00415967"/>
    <w:rsid w:val="004446B2"/>
    <w:rsid w:val="00465285"/>
    <w:rsid w:val="004717C6"/>
    <w:rsid w:val="004D7B57"/>
    <w:rsid w:val="004F3C20"/>
    <w:rsid w:val="00531C5B"/>
    <w:rsid w:val="005B57F0"/>
    <w:rsid w:val="00624636"/>
    <w:rsid w:val="007211FA"/>
    <w:rsid w:val="007405D6"/>
    <w:rsid w:val="00763C6F"/>
    <w:rsid w:val="007A5320"/>
    <w:rsid w:val="00810732"/>
    <w:rsid w:val="008A3A4F"/>
    <w:rsid w:val="008D1BC8"/>
    <w:rsid w:val="009065C5"/>
    <w:rsid w:val="00920E2F"/>
    <w:rsid w:val="009463DB"/>
    <w:rsid w:val="00966795"/>
    <w:rsid w:val="009E21E3"/>
    <w:rsid w:val="00A016EE"/>
    <w:rsid w:val="00A049A8"/>
    <w:rsid w:val="00A50879"/>
    <w:rsid w:val="00A652A8"/>
    <w:rsid w:val="00B22CA2"/>
    <w:rsid w:val="00BA120B"/>
    <w:rsid w:val="00BA2ED3"/>
    <w:rsid w:val="00CE3B21"/>
    <w:rsid w:val="00CF364D"/>
    <w:rsid w:val="00D020CF"/>
    <w:rsid w:val="00E301C2"/>
    <w:rsid w:val="00ED6A50"/>
    <w:rsid w:val="00F87D89"/>
    <w:rsid w:val="00F97DD7"/>
    <w:rsid w:val="00FE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B5E9DA1-A8C6-40D2-91F6-F9E65A7B1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4E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384E30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84E3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384E30"/>
    <w:rPr>
      <w:sz w:val="20"/>
      <w:szCs w:val="20"/>
    </w:rPr>
  </w:style>
  <w:style w:type="table" w:styleId="a7">
    <w:name w:val="Table Grid"/>
    <w:basedOn w:val="a1"/>
    <w:uiPriority w:val="39"/>
    <w:rsid w:val="00384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吳明瑜</dc:creator>
  <cp:keywords/>
  <dc:description/>
  <cp:lastModifiedBy>吳明瑜</cp:lastModifiedBy>
  <cp:revision>5</cp:revision>
  <cp:lastPrinted>2023-04-24T06:51:00Z</cp:lastPrinted>
  <dcterms:created xsi:type="dcterms:W3CDTF">2023-04-25T06:15:00Z</dcterms:created>
  <dcterms:modified xsi:type="dcterms:W3CDTF">2023-04-25T08:52:00Z</dcterms:modified>
</cp:coreProperties>
</file>